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Parecer sobre a Adequação e Vantajosidade dos Estudos Apresentados no Âmbito de Procedimento de Manifestação de Interesse (PMI)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Processo: Pregão Eletrônico nº 001/2024 – Gestão de Imóveis Públicos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Resumo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Este parecer analisa se os estudos do PMI nº 001/2024 feitos para o Consórcio Intermunicipal Multifinalitário dos Municípios do Vale do Itapecerica (CIMMVI) são adequados e vantajosos conforme exige a Lei nº 14.133/2021. O objetivo do PMI é implementar uma Central Consorciada de Compras Públicas (3CP) para melhorar a gestão dos imóveis públicos dos municípios participantes.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Avaliação dos Estudos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2.1. Problema identificado</w:t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estudo comprovou que a maioria dos municípios não tem um controle adequado dos imóveis públicos, o que gera desperdício, imóveis vazios ou mal utilizados.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2.2. Software especializado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software de gestão imobiliária (SaaS) é necessário para organizar e centralizar todas as informações sobre os imóveis em um único lugar. Isso facilita o acesso às informações, economiza tempo dos servidores e ajuda na fiscalização e no controle financeiro. Também permite que a população acompanhe como os imóveis estão sendo administrados. A Prefeitura de Divinópolis já reconheceu oficialmente que a digitalização é necessária para modernizar os serviços públicos (Portaria SEMFAZ-SEC Nº 01 de 02/01/2025).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2.3. Regularização dos imóveis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É necessário manter um cadastro atualizado e correto dos imóveis para evitar invasões, ocupações irregulares e disputas legais. Um cadastro confiável ajuda a planejar melhor o uso dos imóveis e melhora a segurança jurídica dos bens públicos.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2.4. Compatibilidade com os objetivos do Consórcio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estudo se encaixa diretamente nos objetivos previstos pelo Consórcio CIMMVI, como modernizar a administração, apoiar ações ambientais e sociais, desenvolver projetos de urbanização e habitação popular, e promover o desenvolvimento econômico local através do uso melhor dos imóveis.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2.5. Demanda regional confirmada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 estudos de demanda realizados foram aprovados por 7 municípios participantes do Consórcio. Pequenas alterações foram feitas apenas em dois municípios, mas a metodologia foi totalmente aceita.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Economia e vantagens financeiras</w:t>
      </w:r>
    </w:p>
    <w:p w:rsidR="00000000" w:rsidDel="00000000" w:rsidP="00000000" w:rsidRDefault="00000000" w:rsidRPr="00000000" w14:paraId="0000002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Primeiramente, cabe apontar que a pesquisa de preços realizada anteriormente chegou na conclusão de que não existe, entre os valores homologados no painel de preços, como é comum na área de serviços, casos com as unidades e qualidades descritas no TR de forma clara e padronizada. Então o estudo elaborado pelo PTCI apresentou cotação de preços em que o autorizado segue os ritos corretos de apresentação dos valores pelas empresas de mercado, em conformidade com os ANEXOS e seus APÊNDICES.</w:t>
      </w:r>
    </w:p>
    <w:p w:rsidR="00000000" w:rsidDel="00000000" w:rsidP="00000000" w:rsidRDefault="00000000" w:rsidRPr="00000000" w14:paraId="0000002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projeto demonstrou que a gestão adequada dos imóveis públicos reduz despesas desnecessárias, evita prejuízos por imóveis abandonados ou invadidos e permite novas formas de obter receitas, como venda ou aluguel.</w:t>
      </w:r>
    </w:p>
    <w:p w:rsidR="00000000" w:rsidDel="00000000" w:rsidP="00000000" w:rsidRDefault="00000000" w:rsidRPr="00000000" w14:paraId="0000002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Um exemplo prático mencionado no estudo é o Município de Divinópolis, que fez leilão de quase 70 imóveis em 2022, com valores entre R$ 21.500 e R$ 4.710.000. Recentemente, em janeiro de 2025, outro imóvel foi leiloado por R$ 480.000 (área de 1.440 m²), mostrando claramente o potencial econômico da gestão adequada dos imóveis.</w:t>
      </w:r>
    </w:p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estudo deixa claro que muitos municípios nem sabem quanto valem seus imóveis por falta de cadastro adequado.</w:t>
      </w:r>
    </w:p>
    <w:p w:rsidR="00000000" w:rsidDel="00000000" w:rsidP="00000000" w:rsidRDefault="00000000" w:rsidRPr="00000000" w14:paraId="0000002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Muitos municípios de pequeno e médio porte não possuem equipes especializadas em gestão imobiliária complexa. Nesse sentido, a pesquisa empregada economizou meses de economia de despesa administrativa ao CIMMVI e aos consorciados, beneficiando-se de um conhecimento que individualmente os municípios não teriam, e a disponibilidade dos dados precisos permitiu que os gestores tomassem decisões mais informadas sobre o uso, aquisição ou alienação de imóveis, tomando medidas que contribuirão para aumentar o valor do patrimônio público.</w:t>
      </w:r>
    </w:p>
    <w:p w:rsidR="00000000" w:rsidDel="00000000" w:rsidP="00000000" w:rsidRDefault="00000000" w:rsidRPr="00000000" w14:paraId="0000002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Outro ganho administrativo é que a solução proposta unificou e simplificou os procedimentos dos municípios consorciados, que envolveriam, se realizados em apartado, fases de cadastro, avaliação, afetação e desafetação de imóveis, reduzindo a burocracia e o tempo gasto pela Administração Pública, ao promover uma solução unificada e integrada. Destaca-se também que com processos mais eficientes e automatizados, o pessoal dedicado à gestão de imóveis pode ser realocado para outras funções estratégicas, otimizando o uso da força de trabalho municipal.</w:t>
      </w:r>
    </w:p>
    <w:p w:rsidR="00000000" w:rsidDel="00000000" w:rsidP="00000000" w:rsidRDefault="00000000" w:rsidRPr="00000000" w14:paraId="0000002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orçamentação também foi efetiva e eficaz. O custo médio para a avaliação de imóveis, considerando todas as faixas de área, foi de R$ 8.843,75. Em consulta a sites especializados, para imóveis mais complexos os custos podem variar de R$10.000,00 a R$15.000(https://www.estevesengenharia.com/post/quanto-custa-uma-avaliacao-de-imoveis#:~:text=Quanto%20custa%20uma%20Avalia%C3%A7%C3%A3o%20de%20im%C3%B3vel,00%20e%20R$6.500%2C00.) 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Igualmente, o levantamento de custos demonstra promover economicidade no que concerne aos levantamentos topográficos, cujos orçamentos ficaram entre R$ 1686,03 e R$ 7250,56. De acordo com sites especializados, o preço de tais serviços está na média de R$ 2.000 e R$ 10.000 dependendo da extensão da área e da complexidade do terreno (https://revlo.com.br/tabela-de-precos-de-servicos-de-topografia-guia-completo/#:~:text=Pre%C3%A7o%20M%C3%A9dio:%20O%20custo%20de,e%20da%20complexidade%20do%20terreno.). É clara a economia proporcionada aos municípios consorciados.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estimar a proporção entre imóveis rurais e imóveis urbanos, foi feita a projeção de 4,99651405995816% e 95,016077170418%. Dos imóveis rurais, 94,8% situam-se na faixa de área de até 10.000m²; 2,21% entre 10.001 e 30.000m²; 1,1% entre 30.001 e 70.000m² , e 1,89% maiores que 70.000m². </w:t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Dos imóveis urbanos, 79,92% encontram-se na faixa de área de até 1.000m²; 8,46% dos imóveis possuem área de 1.001 a 3.000m²; 6,42% dos imóveis possuem área de 3.001 a 10.001 m²; 5,2% dos imóveis possuem área maior que 10.000m². Para a implantação de marcos geográficos,  considera-se o montante de 50% dos imóveis estimados. </w:t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que concerne ao quantitativo de serviços (laudos) de levantamentos planialtimétricos urbanos, têm-se que do quantitativo total de imóveis urbanos, 75,17% são de até 600 m²; 4,77% são de 601 a 1.000m²; 5,84% são de 1.001 a 2.000 m² ; 6,08% são de 2.001 a 5.000m²; 2,97% são de 5.001 a 10.000m² ; 5,17% são maiores que 10.000 m².</w:t>
      </w:r>
    </w:p>
    <w:p w:rsidR="00000000" w:rsidDel="00000000" w:rsidP="00000000" w:rsidRDefault="00000000" w:rsidRPr="00000000" w14:paraId="0000002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que concerne ao quantitativo de serviços (laudos) de levantamentos planialtimétricos rurais, têm-se que do quantitativo total de imóveis rurais, 97,82% são de até 5 hectares; 0,9% são entre 5,1 e 10 hectares ; 0,32% são entre 10,1 e 20 hectares; 0,29% são entre 20,1 e 30 hectares; 0,09% entre 30,1 e 50 hectares; 0,58% maiores que 50 hectares.</w:t>
      </w:r>
    </w:p>
    <w:p w:rsidR="00000000" w:rsidDel="00000000" w:rsidP="00000000" w:rsidRDefault="00000000" w:rsidRPr="00000000" w14:paraId="0000002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Considerando a proporção defendida no processo, do quantitativo total de imóveis do município, a quantitativa estimada de diligências de coleta de assinaturas é de 5%. O levantamento patrimonial de cartório é estabelecido na proporção de 1:1 da quantidade de imóveis do município. </w:t>
      </w:r>
    </w:p>
    <w:p w:rsidR="00000000" w:rsidDel="00000000" w:rsidP="00000000" w:rsidRDefault="00000000" w:rsidRPr="00000000" w14:paraId="0000002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proporção da proporção de realização de diagnósticos jurídicos da situação dos imóveis é de 50% da quantidade total dos imóveis.</w:t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quantitativo total de desmembramento de áreas no processo observa a proporção de 5% dos imóveis públicos. A mesma proporção foi observada para as diligências de remembramento de áreas. O mesmo pode ser dito da proporção de serviços de retificação de áreas, no qual a demanda considera 5% do quantitativo total de imóveis.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Para a criação/descaracterização de CAFIR, a quantidade demandada é de 1:1 em proporção com o quantitativo de imóveis rurais. O mesmo pode ser dito da criação de CCIR e CAR.</w:t>
        <w:br w:type="textWrapping"/>
        <w:br w:type="textWrapping"/>
        <w:t xml:space="preserve">Os dados, em conjunto, indicam um custo unitário no contrato por imóvel muito menor do que o impacto econômico de os imóveis serem regularizados para os municípios individualmente.</w:t>
      </w:r>
    </w:p>
    <w:p w:rsidR="00000000" w:rsidDel="00000000" w:rsidP="00000000" w:rsidRDefault="00000000" w:rsidRPr="00000000" w14:paraId="0000003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Descrição do que será contratado</w:t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Software de gestão imobiliária (SaaS);</w:t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Levantamentos topográficos detalhados para garantir segurança em projetos;</w:t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Avaliação dos imóveis para venda ou locação;</w:t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Regularização fundiária e atualização de registros cartorários;</w:t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Instalação física de marcos geográficos para definir claramente limites dos imóveis;</w:t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Diagnóstico jurídico completo para resolver problemas legais;</w:t>
      </w:r>
    </w:p>
    <w:p w:rsidR="00000000" w:rsidDel="00000000" w:rsidP="00000000" w:rsidRDefault="00000000" w:rsidRPr="00000000" w14:paraId="0000003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Serviços de desmembramento e ajustes cadastrais;</w:t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Criação e atualização dos cadastros ambientais e rurais (CAR, CAFIR e CCIR).</w:t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5. Conclusão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 estudos entregues são adequados, completos e atendem todos os requisitos exigidos no edital. Estão bem fundamentados com dados claros e objetivos. Portanto, recomendo aprovar integralmente os estudos e autorizar o ressarcimento total de R$ 1.075.235,70 por contrato que for assinado com base nesses estudos.</w:t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Divinópolis, 28 de abril de 2025</w:t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dranv7ouav4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____________________________</w:t>
      </w:r>
    </w:p>
    <w:p w:rsidR="00000000" w:rsidDel="00000000" w:rsidP="00000000" w:rsidRDefault="00000000" w:rsidRPr="00000000" w14:paraId="00000042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Luana Júnia Silva </w:t>
      </w:r>
    </w:p>
    <w:p w:rsidR="00000000" w:rsidDel="00000000" w:rsidP="00000000" w:rsidRDefault="00000000" w:rsidRPr="00000000" w14:paraId="00000043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19494D"/>
    <w:pPr>
      <w:keepNext w:val="1"/>
      <w:keepLines w:val="1"/>
      <w:spacing w:after="80" w:before="360"/>
      <w:outlineLvl w:val="0"/>
    </w:pPr>
    <w:rPr>
      <w:rFonts w:ascii="Times New Roman" w:hAnsi="Times New Roman" w:cstheme="majorBidi" w:eastAsiaTheme="majorEastAsia"/>
      <w:b w:val="1"/>
      <w:sz w:val="24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 w:val="1"/>
    <w:qFormat w:val="1"/>
    <w:rsid w:val="0019494D"/>
    <w:pPr>
      <w:keepNext w:val="1"/>
      <w:keepLines w:val="1"/>
      <w:spacing w:after="80" w:before="160"/>
      <w:outlineLvl w:val="1"/>
    </w:pPr>
    <w:rPr>
      <w:rFonts w:ascii="Times New Roman" w:hAnsi="Times New Roman" w:cstheme="majorBidi" w:eastAsiaTheme="majorEastAsia"/>
      <w:b w:val="1"/>
      <w:sz w:val="24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2E22FD"/>
    <w:pPr>
      <w:keepNext w:val="1"/>
      <w:keepLines w:val="1"/>
      <w:spacing w:after="80" w:before="160"/>
      <w:outlineLvl w:val="2"/>
    </w:pPr>
    <w:rPr>
      <w:rFonts w:cstheme="majorBidi" w:eastAsiaTheme="majorEastAsia"/>
      <w:color w:val="2f5496" w:themeColor="accent1" w:themeShade="0000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 w:val="1"/>
    <w:unhideWhenUsed w:val="1"/>
    <w:qFormat w:val="1"/>
    <w:rsid w:val="002E22FD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har"/>
    <w:uiPriority w:val="9"/>
    <w:semiHidden w:val="1"/>
    <w:unhideWhenUsed w:val="1"/>
    <w:qFormat w:val="1"/>
    <w:rsid w:val="002E22FD"/>
    <w:pPr>
      <w:keepNext w:val="1"/>
      <w:keepLines w:val="1"/>
      <w:spacing w:after="40" w:before="80"/>
      <w:outlineLvl w:val="4"/>
    </w:pPr>
    <w:rPr>
      <w:rFonts w:cstheme="majorBidi" w:eastAsiaTheme="majorEastAsia"/>
      <w:color w:val="2f5496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2E22FD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2E22F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har"/>
    <w:uiPriority w:val="9"/>
    <w:semiHidden w:val="1"/>
    <w:unhideWhenUsed w:val="1"/>
    <w:qFormat w:val="1"/>
    <w:rsid w:val="002E22F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har"/>
    <w:uiPriority w:val="9"/>
    <w:semiHidden w:val="1"/>
    <w:unhideWhenUsed w:val="1"/>
    <w:qFormat w:val="1"/>
    <w:rsid w:val="002E22F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 w:val="1"/>
    <w:rsid w:val="002E22FD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tulo1Char" w:customStyle="1">
    <w:name w:val="Título 1 Char"/>
    <w:basedOn w:val="Fontepargpadro"/>
    <w:link w:val="Ttulo1"/>
    <w:uiPriority w:val="9"/>
    <w:rsid w:val="0019494D"/>
    <w:rPr>
      <w:rFonts w:ascii="Times New Roman" w:hAnsi="Times New Roman" w:cstheme="majorBidi" w:eastAsiaTheme="majorEastAsia"/>
      <w:b w:val="1"/>
      <w:sz w:val="24"/>
      <w:szCs w:val="40"/>
    </w:rPr>
  </w:style>
  <w:style w:type="character" w:styleId="Ttulo2Char" w:customStyle="1">
    <w:name w:val="Título 2 Char"/>
    <w:basedOn w:val="Fontepargpadro"/>
    <w:link w:val="Ttulo2"/>
    <w:uiPriority w:val="9"/>
    <w:rsid w:val="0019494D"/>
    <w:rPr>
      <w:rFonts w:ascii="Times New Roman" w:hAnsi="Times New Roman" w:cstheme="majorBidi" w:eastAsiaTheme="majorEastAsia"/>
      <w:b w:val="1"/>
      <w:sz w:val="24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2E22FD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 w:val="1"/>
    <w:rsid w:val="002E22FD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Ttulo5Char" w:customStyle="1">
    <w:name w:val="Título 5 Char"/>
    <w:basedOn w:val="Fontepargpadro"/>
    <w:link w:val="Ttulo5"/>
    <w:uiPriority w:val="9"/>
    <w:semiHidden w:val="1"/>
    <w:rsid w:val="002E22FD"/>
    <w:rPr>
      <w:rFonts w:cstheme="majorBidi" w:eastAsiaTheme="majorEastAsia"/>
      <w:color w:val="2f5496" w:themeColor="accent1" w:themeShade="0000BF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2E22FD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har" w:customStyle="1">
    <w:name w:val="Título 7 Char"/>
    <w:basedOn w:val="Fontepargpadro"/>
    <w:link w:val="Ttulo7"/>
    <w:uiPriority w:val="9"/>
    <w:semiHidden w:val="1"/>
    <w:rsid w:val="002E22FD"/>
    <w:rPr>
      <w:rFonts w:cstheme="majorBidi" w:eastAsiaTheme="majorEastAsia"/>
      <w:color w:val="595959" w:themeColor="text1" w:themeTint="0000A6"/>
    </w:rPr>
  </w:style>
  <w:style w:type="character" w:styleId="Ttulo8Char" w:customStyle="1">
    <w:name w:val="Título 8 Char"/>
    <w:basedOn w:val="Fontepargpadro"/>
    <w:link w:val="Ttulo8"/>
    <w:uiPriority w:val="9"/>
    <w:semiHidden w:val="1"/>
    <w:rsid w:val="002E22FD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har" w:customStyle="1">
    <w:name w:val="Título 9 Char"/>
    <w:basedOn w:val="Fontepargpadro"/>
    <w:link w:val="Ttulo9"/>
    <w:uiPriority w:val="9"/>
    <w:semiHidden w:val="1"/>
    <w:rsid w:val="002E22FD"/>
    <w:rPr>
      <w:rFonts w:cstheme="majorBidi" w:eastAsiaTheme="majorEastAsia"/>
      <w:color w:val="272727" w:themeColor="text1" w:themeTint="0000D8"/>
    </w:rPr>
  </w:style>
  <w:style w:type="character" w:styleId="TtuloChar" w:customStyle="1">
    <w:name w:val="Título Char"/>
    <w:basedOn w:val="Fontepargpadro"/>
    <w:link w:val="Ttulo"/>
    <w:uiPriority w:val="10"/>
    <w:rsid w:val="002E22F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rPr>
      <w:color w:val="595959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2E22F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 w:val="1"/>
    <w:rsid w:val="002E22F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oChar" w:customStyle="1">
    <w:name w:val="Citação Char"/>
    <w:basedOn w:val="Fontepargpadro"/>
    <w:link w:val="Citao"/>
    <w:uiPriority w:val="29"/>
    <w:rsid w:val="002E22FD"/>
    <w:rPr>
      <w:i w:val="1"/>
      <w:iCs w:val="1"/>
      <w:color w:val="404040" w:themeColor="text1" w:themeTint="0000BF"/>
    </w:rPr>
  </w:style>
  <w:style w:type="paragraph" w:styleId="PargrafodaLista">
    <w:name w:val="List Paragraph"/>
    <w:basedOn w:val="Normal"/>
    <w:uiPriority w:val="34"/>
    <w:qFormat w:val="1"/>
    <w:rsid w:val="002E22FD"/>
    <w:pPr>
      <w:ind w:left="720"/>
      <w:contextualSpacing w:val="1"/>
    </w:pPr>
  </w:style>
  <w:style w:type="character" w:styleId="nfaseIntensa">
    <w:name w:val="Intense Emphasis"/>
    <w:basedOn w:val="Fontepargpadro"/>
    <w:uiPriority w:val="21"/>
    <w:qFormat w:val="1"/>
    <w:rsid w:val="002E22FD"/>
    <w:rPr>
      <w:i w:val="1"/>
      <w:iCs w:val="1"/>
      <w:color w:val="2f5496" w:themeColor="accent1" w:themeShade="0000BF"/>
    </w:rPr>
  </w:style>
  <w:style w:type="paragraph" w:styleId="CitaoIntensa">
    <w:name w:val="Intense Quote"/>
    <w:basedOn w:val="Normal"/>
    <w:next w:val="Normal"/>
    <w:link w:val="CitaoIntensaChar"/>
    <w:uiPriority w:val="30"/>
    <w:qFormat w:val="1"/>
    <w:rsid w:val="002E22FD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2E22FD"/>
    <w:rPr>
      <w:i w:val="1"/>
      <w:iCs w:val="1"/>
      <w:color w:val="2f5496" w:themeColor="accent1" w:themeShade="0000BF"/>
    </w:rPr>
  </w:style>
  <w:style w:type="character" w:styleId="RefernciaIntensa">
    <w:name w:val="Intense Reference"/>
    <w:basedOn w:val="Fontepargpadro"/>
    <w:uiPriority w:val="32"/>
    <w:qFormat w:val="1"/>
    <w:rsid w:val="002E22FD"/>
    <w:rPr>
      <w:b w:val="1"/>
      <w:bCs w:val="1"/>
      <w:smallCaps w:val="1"/>
      <w:color w:val="2f5496" w:themeColor="accent1" w:themeShade="0000BF"/>
      <w:spacing w:val="5"/>
    </w:rPr>
  </w:style>
  <w:style w:type="paragraph" w:styleId="Textodenotaderodap">
    <w:name w:val="footnote text"/>
    <w:basedOn w:val="Normal"/>
    <w:link w:val="TextodenotaderodapChar"/>
    <w:uiPriority w:val="99"/>
    <w:semiHidden w:val="1"/>
    <w:unhideWhenUsed w:val="1"/>
    <w:rsid w:val="00585775"/>
    <w:pPr>
      <w:spacing w:after="0" w:line="240" w:lineRule="auto"/>
    </w:pPr>
    <w:rPr>
      <w:sz w:val="20"/>
      <w:szCs w:val="20"/>
    </w:rPr>
  </w:style>
  <w:style w:type="character" w:styleId="TextodenotaderodapChar" w:customStyle="1">
    <w:name w:val="Texto de nota de rodapé Char"/>
    <w:basedOn w:val="Fontepargpadro"/>
    <w:link w:val="Textodenotaderodap"/>
    <w:uiPriority w:val="99"/>
    <w:semiHidden w:val="1"/>
    <w:rsid w:val="00585775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 w:val="1"/>
    <w:unhideWhenUsed w:val="1"/>
    <w:rsid w:val="00585775"/>
    <w:rPr>
      <w:vertAlign w:val="superscript"/>
    </w:rPr>
  </w:style>
  <w:style w:type="character" w:styleId="Hyperlink">
    <w:name w:val="Hyperlink"/>
    <w:basedOn w:val="Fontepargpadro"/>
    <w:uiPriority w:val="99"/>
    <w:unhideWhenUsed w:val="1"/>
    <w:rsid w:val="00585775"/>
    <w:rPr>
      <w:color w:val="0563c1" w:themeColor="hyperlink"/>
      <w:u w:val="single"/>
    </w:r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85775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7706DF"/>
    <w:rPr>
      <w:color w:val="954f72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033CC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033CC7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74+yb49ENzSc1RbXHECkHsmlkA==">CgMxLjAyDmguZHJhbnY3b3VhdjQxOAByITFJeUJMc3I2RFNmUVBMM1FNTFRBbDJ2MFNSZEdaUkVEeA==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2025-05-06T16:40:00Z</dcterms:created>
  <dc:creator>IPGC Bh</dc:creator>
</cp:coreProperties>
</file>